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1"/>
        <w:tblpPr w:leftFromText="180" w:rightFromText="180" w:vertAnchor="page" w:horzAnchor="margin" w:tblpY="1456"/>
        <w:tblW w:w="7338" w:type="dxa"/>
        <w:tblLayout w:type="fixed"/>
        <w:tblLook w:val="04A0"/>
      </w:tblPr>
      <w:tblGrid>
        <w:gridCol w:w="1809"/>
        <w:gridCol w:w="2694"/>
        <w:gridCol w:w="1275"/>
        <w:gridCol w:w="1560"/>
      </w:tblGrid>
      <w:tr w:rsidR="00982718" w:rsidTr="00880B46">
        <w:trPr>
          <w:cnfStyle w:val="100000000000"/>
        </w:trPr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Month</w:t>
            </w:r>
          </w:p>
        </w:tc>
        <w:tc>
          <w:tcPr>
            <w:tcW w:w="2694" w:type="dxa"/>
          </w:tcPr>
          <w:p w:rsidR="00E82231" w:rsidRPr="005C3167" w:rsidRDefault="00E82231" w:rsidP="00880B46">
            <w:pPr>
              <w:cnfStyle w:val="100000000000"/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Issue Topic</w:t>
            </w:r>
          </w:p>
        </w:tc>
        <w:tc>
          <w:tcPr>
            <w:tcW w:w="1275" w:type="dxa"/>
          </w:tcPr>
          <w:p w:rsidR="00E82231" w:rsidRPr="005C3167" w:rsidRDefault="00982718" w:rsidP="00880B46">
            <w:pPr>
              <w:cnfStyle w:val="100000000000"/>
              <w:rPr>
                <w:b w:val="0"/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  <w:u w:val="single"/>
              </w:rPr>
              <w:t>Copy Deadline</w:t>
            </w:r>
          </w:p>
        </w:tc>
        <w:tc>
          <w:tcPr>
            <w:tcW w:w="1560" w:type="dxa"/>
          </w:tcPr>
          <w:p w:rsidR="00E82231" w:rsidRPr="005C3167" w:rsidRDefault="00E82231" w:rsidP="00880B46">
            <w:pPr>
              <w:cnfStyle w:val="100000000000"/>
              <w:rPr>
                <w:sz w:val="26"/>
                <w:szCs w:val="26"/>
                <w:u w:val="single"/>
              </w:rPr>
            </w:pPr>
            <w:r w:rsidRPr="005C3167">
              <w:rPr>
                <w:sz w:val="26"/>
                <w:szCs w:val="26"/>
                <w:u w:val="single"/>
              </w:rPr>
              <w:t>Publication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6D7E63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6D7E63">
              <w:rPr>
                <w:b w:val="0"/>
                <w:sz w:val="26"/>
                <w:szCs w:val="26"/>
                <w:u w:val="single"/>
              </w:rPr>
              <w:t>January</w:t>
            </w:r>
          </w:p>
        </w:tc>
        <w:tc>
          <w:tcPr>
            <w:tcW w:w="2694" w:type="dxa"/>
          </w:tcPr>
          <w:p w:rsidR="00E82231" w:rsidRPr="007C44A5" w:rsidRDefault="008A0D1C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Predictions for 2017</w:t>
            </w:r>
          </w:p>
          <w:p w:rsidR="007C44A5" w:rsidRPr="007C44A5" w:rsidRDefault="00255C59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Pension Freedoms</w:t>
            </w:r>
          </w:p>
          <w:p w:rsidR="007C44A5" w:rsidRPr="007C44A5" w:rsidRDefault="008A0D1C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Telematics</w:t>
            </w:r>
          </w:p>
        </w:tc>
        <w:tc>
          <w:tcPr>
            <w:tcW w:w="1275" w:type="dxa"/>
          </w:tcPr>
          <w:p w:rsidR="00E82231" w:rsidRPr="007C44A5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7C44A5" w:rsidRPr="007C44A5" w:rsidRDefault="007C44A5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 w:rsidRPr="007C44A5">
              <w:rPr>
                <w:b/>
                <w:color w:val="1F497D" w:themeColor="text2"/>
                <w:sz w:val="20"/>
                <w:szCs w:val="20"/>
              </w:rPr>
              <w:t>2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7</w:t>
            </w:r>
            <w:r w:rsidRPr="007C44A5">
              <w:rPr>
                <w:b/>
                <w:color w:val="1F497D" w:themeColor="text2"/>
                <w:sz w:val="20"/>
                <w:szCs w:val="20"/>
              </w:rPr>
              <w:t>/01/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7C44A5" w:rsidRPr="007C44A5" w:rsidRDefault="007C44A5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3</w:t>
            </w:r>
            <w:r>
              <w:rPr>
                <w:b/>
                <w:color w:val="1F497D" w:themeColor="text2"/>
                <w:sz w:val="20"/>
                <w:szCs w:val="20"/>
              </w:rPr>
              <w:t>/02/201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7</w:t>
            </w:r>
          </w:p>
        </w:tc>
      </w:tr>
      <w:tr w:rsidR="00982718" w:rsidTr="00880B46"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February</w:t>
            </w:r>
          </w:p>
        </w:tc>
        <w:tc>
          <w:tcPr>
            <w:tcW w:w="2694" w:type="dxa"/>
          </w:tcPr>
          <w:p w:rsidR="007C44A5" w:rsidRPr="007C44A5" w:rsidRDefault="008A0D1C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Regulation</w:t>
            </w:r>
          </w:p>
          <w:p w:rsidR="007C44A5" w:rsidRPr="007C44A5" w:rsidRDefault="008A0D1C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Modelling</w:t>
            </w:r>
          </w:p>
          <w:p w:rsidR="00052909" w:rsidRP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8A0D1C">
              <w:rPr>
                <w:b/>
                <w:color w:val="1F497D" w:themeColor="text2"/>
                <w:sz w:val="20"/>
                <w:szCs w:val="20"/>
                <w:u w:val="single"/>
              </w:rPr>
              <w:t>Pensions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58640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</w:rPr>
              <w:t>/02/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03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b/>
                <w:color w:val="1F497D" w:themeColor="text2"/>
                <w:sz w:val="20"/>
                <w:szCs w:val="20"/>
              </w:rPr>
              <w:t>3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March</w:t>
            </w:r>
          </w:p>
        </w:tc>
        <w:tc>
          <w:tcPr>
            <w:tcW w:w="2694" w:type="dxa"/>
          </w:tcPr>
          <w:p w:rsidR="007C44A5" w:rsidRPr="007C44A5" w:rsidRDefault="008A0D1C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Health and Care</w:t>
            </w:r>
          </w:p>
          <w:p w:rsidR="007C44A5" w:rsidRPr="007C44A5" w:rsidRDefault="001D3932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General Insurance</w:t>
            </w:r>
          </w:p>
          <w:p w:rsidR="00E82231" w:rsidRPr="007C44A5" w:rsidRDefault="007C44A5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BD46E1">
              <w:rPr>
                <w:b/>
                <w:color w:val="1F497D" w:themeColor="text2"/>
                <w:sz w:val="20"/>
                <w:szCs w:val="20"/>
                <w:u w:val="single"/>
              </w:rPr>
              <w:t>Artificial Intelligence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1/03/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07/04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April</w:t>
            </w:r>
          </w:p>
        </w:tc>
        <w:tc>
          <w:tcPr>
            <w:tcW w:w="2694" w:type="dxa"/>
          </w:tcPr>
          <w:p w:rsidR="007C44A5" w:rsidRPr="007C44A5" w:rsidRDefault="00255C59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Investment</w:t>
            </w:r>
          </w:p>
          <w:p w:rsidR="007C44A5" w:rsidRPr="007C44A5" w:rsidRDefault="001D3932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Modelling</w:t>
            </w:r>
          </w:p>
          <w:p w:rsidR="00E82231" w:rsidRP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8A0D1C">
              <w:rPr>
                <w:b/>
                <w:color w:val="1F497D" w:themeColor="text2"/>
                <w:sz w:val="20"/>
                <w:szCs w:val="20"/>
                <w:u w:val="single"/>
              </w:rPr>
              <w:t>Reinsurance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8/04/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05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/206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5C3167" w:rsidRDefault="007C44A5" w:rsidP="00880B46">
            <w:pPr>
              <w:rPr>
                <w:b w:val="0"/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  <w:u w:val="single"/>
              </w:rPr>
              <w:t>May</w:t>
            </w:r>
          </w:p>
        </w:tc>
        <w:tc>
          <w:tcPr>
            <w:tcW w:w="2694" w:type="dxa"/>
          </w:tcPr>
          <w:p w:rsidR="007C44A5" w:rsidRPr="007C44A5" w:rsidRDefault="008A0D1C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Connected Insurance</w:t>
            </w:r>
          </w:p>
          <w:p w:rsidR="007C44A5" w:rsidRPr="007C44A5" w:rsidRDefault="00BD46E1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Wearable Tech</w:t>
            </w:r>
          </w:p>
          <w:p w:rsidR="00052909" w:rsidRPr="007C44A5" w:rsidRDefault="007C44A5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BD46E1">
              <w:rPr>
                <w:b/>
                <w:color w:val="1F497D" w:themeColor="text2"/>
                <w:sz w:val="20"/>
                <w:szCs w:val="20"/>
                <w:u w:val="single"/>
              </w:rPr>
              <w:t>Augmented Reality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58640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</w:rPr>
              <w:t>/05/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02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b/>
                <w:color w:val="1F497D" w:themeColor="text2"/>
                <w:sz w:val="20"/>
                <w:szCs w:val="20"/>
              </w:rPr>
              <w:t>6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c>
          <w:tcPr>
            <w:cnfStyle w:val="001000000000"/>
            <w:tcW w:w="1809" w:type="dxa"/>
          </w:tcPr>
          <w:p w:rsidR="007C44A5" w:rsidRPr="007C44A5" w:rsidRDefault="007C44A5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7C44A5">
              <w:rPr>
                <w:b w:val="0"/>
                <w:sz w:val="26"/>
                <w:szCs w:val="26"/>
                <w:u w:val="single"/>
              </w:rPr>
              <w:t>June</w:t>
            </w:r>
          </w:p>
        </w:tc>
        <w:tc>
          <w:tcPr>
            <w:tcW w:w="2694" w:type="dxa"/>
          </w:tcPr>
          <w:p w:rsidR="007C44A5" w:rsidRPr="007C44A5" w:rsidRDefault="001D3932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Longevity</w:t>
            </w:r>
          </w:p>
          <w:p w:rsidR="007C44A5" w:rsidRPr="007C44A5" w:rsidRDefault="00255C59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Life</w:t>
            </w:r>
          </w:p>
          <w:p w:rsidR="007C44A5" w:rsidRPr="00D40B1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</w:t>
            </w:r>
            <w:r w:rsidR="00D40B15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D40B15" w:rsidRPr="00D40B15">
              <w:rPr>
                <w:b/>
                <w:color w:val="1F497D" w:themeColor="text2"/>
                <w:sz w:val="20"/>
                <w:szCs w:val="20"/>
                <w:u w:val="single"/>
              </w:rPr>
              <w:t>Pen</w:t>
            </w:r>
            <w:r w:rsidR="001D3932" w:rsidRPr="00D40B15">
              <w:rPr>
                <w:b/>
                <w:color w:val="1F497D" w:themeColor="text2"/>
                <w:sz w:val="20"/>
                <w:szCs w:val="20"/>
                <w:u w:val="single"/>
              </w:rPr>
              <w:t>sions</w:t>
            </w:r>
          </w:p>
        </w:tc>
        <w:tc>
          <w:tcPr>
            <w:tcW w:w="1275" w:type="dxa"/>
          </w:tcPr>
          <w:p w:rsid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58640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3</w:t>
            </w:r>
            <w:r>
              <w:rPr>
                <w:b/>
                <w:color w:val="1F497D" w:themeColor="text2"/>
                <w:sz w:val="20"/>
                <w:szCs w:val="20"/>
              </w:rPr>
              <w:t>/06/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30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/06/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July</w:t>
            </w:r>
          </w:p>
        </w:tc>
        <w:tc>
          <w:tcPr>
            <w:tcW w:w="2694" w:type="dxa"/>
          </w:tcPr>
          <w:p w:rsidR="007C44A5" w:rsidRPr="007C44A5" w:rsidRDefault="00255C59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General Insurance</w:t>
            </w:r>
          </w:p>
          <w:p w:rsidR="00E82231" w:rsidRPr="007C44A5" w:rsidRDefault="00255C59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Risk Management</w:t>
            </w:r>
            <w:r w:rsidR="007C44A5">
              <w:rPr>
                <w:b/>
                <w:color w:val="1F497D" w:themeColor="text2"/>
                <w:sz w:val="20"/>
                <w:szCs w:val="20"/>
              </w:rPr>
              <w:t xml:space="preserve">               </w:t>
            </w:r>
            <w:r w:rsidR="001D3932">
              <w:rPr>
                <w:b/>
                <w:color w:val="1F497D" w:themeColor="text2"/>
                <w:sz w:val="20"/>
                <w:szCs w:val="20"/>
                <w:u w:val="single"/>
              </w:rPr>
              <w:t>Software</w:t>
            </w: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/Telematics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24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/07/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31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/07/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August</w:t>
            </w:r>
          </w:p>
        </w:tc>
        <w:tc>
          <w:tcPr>
            <w:tcW w:w="2694" w:type="dxa"/>
          </w:tcPr>
          <w:p w:rsidR="00255C59" w:rsidRPr="007C44A5" w:rsidRDefault="00255C59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2017 Awards launch</w:t>
            </w:r>
          </w:p>
          <w:p w:rsidR="007C44A5" w:rsidRPr="007C44A5" w:rsidRDefault="001D3932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General Insurance</w:t>
            </w:r>
          </w:p>
          <w:p w:rsidR="00E82231" w:rsidRP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255C59">
              <w:rPr>
                <w:b/>
                <w:color w:val="1F497D" w:themeColor="text2"/>
                <w:sz w:val="20"/>
                <w:szCs w:val="20"/>
                <w:u w:val="single"/>
              </w:rPr>
              <w:t>Careers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21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/08/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28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/08/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September</w:t>
            </w:r>
          </w:p>
        </w:tc>
        <w:tc>
          <w:tcPr>
            <w:tcW w:w="2694" w:type="dxa"/>
          </w:tcPr>
          <w:p w:rsidR="00255C59" w:rsidRDefault="00255C59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Modelling</w:t>
            </w:r>
          </w:p>
          <w:p w:rsidR="001D3932" w:rsidRPr="007C44A5" w:rsidRDefault="001D3932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Risk</w:t>
            </w:r>
          </w:p>
          <w:p w:rsidR="00E82231" w:rsidRPr="007C44A5" w:rsidRDefault="001D3932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Regulation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22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/09/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58640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9</w:t>
            </w:r>
            <w:r>
              <w:rPr>
                <w:b/>
                <w:color w:val="1F497D" w:themeColor="text2"/>
                <w:sz w:val="20"/>
                <w:szCs w:val="20"/>
              </w:rPr>
              <w:t>/09/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c>
          <w:tcPr>
            <w:cnfStyle w:val="001000000000"/>
            <w:tcW w:w="1809" w:type="dxa"/>
          </w:tcPr>
          <w:p w:rsidR="00E82231" w:rsidRPr="005C3167" w:rsidRDefault="00E82231" w:rsidP="00880B46">
            <w:pPr>
              <w:rPr>
                <w:b w:val="0"/>
                <w:sz w:val="26"/>
                <w:szCs w:val="26"/>
                <w:u w:val="single"/>
              </w:rPr>
            </w:pPr>
            <w:r w:rsidRPr="005C3167">
              <w:rPr>
                <w:b w:val="0"/>
                <w:sz w:val="26"/>
                <w:szCs w:val="26"/>
                <w:u w:val="single"/>
              </w:rPr>
              <w:t>October</w:t>
            </w:r>
          </w:p>
        </w:tc>
        <w:tc>
          <w:tcPr>
            <w:tcW w:w="2694" w:type="dxa"/>
          </w:tcPr>
          <w:p w:rsidR="003A0A16" w:rsidRDefault="003A0A16" w:rsidP="00880B46">
            <w:pPr>
              <w:pStyle w:val="ListParagraph"/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Stars of the Future Results</w:t>
            </w:r>
          </w:p>
          <w:p w:rsidR="00E82231" w:rsidRPr="007C44A5" w:rsidRDefault="007C44A5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               </w:t>
            </w:r>
            <w:r w:rsidR="001D3932">
              <w:rPr>
                <w:b/>
                <w:color w:val="1F497D" w:themeColor="text2"/>
                <w:sz w:val="20"/>
                <w:szCs w:val="20"/>
                <w:u w:val="single"/>
              </w:rPr>
              <w:t>Pensions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A90846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982718">
              <w:rPr>
                <w:b/>
                <w:color w:val="1F497D" w:themeColor="text2"/>
                <w:sz w:val="20"/>
                <w:szCs w:val="20"/>
              </w:rPr>
              <w:t>7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/10/</w:t>
            </w:r>
            <w:r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982718" w:rsidP="00880B46">
            <w:pPr>
              <w:cnfStyle w:val="0000000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03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/1</w:t>
            </w:r>
            <w:r>
              <w:rPr>
                <w:b/>
                <w:color w:val="1F497D" w:themeColor="text2"/>
                <w:sz w:val="20"/>
                <w:szCs w:val="20"/>
              </w:rPr>
              <w:t>1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  <w:tr w:rsidR="00982718" w:rsidTr="00880B46">
        <w:trPr>
          <w:cnfStyle w:val="000000100000"/>
        </w:trPr>
        <w:tc>
          <w:tcPr>
            <w:cnfStyle w:val="001000000000"/>
            <w:tcW w:w="1809" w:type="dxa"/>
          </w:tcPr>
          <w:p w:rsidR="00E82231" w:rsidRPr="005C3167" w:rsidRDefault="00982718" w:rsidP="00880B46">
            <w:pPr>
              <w:rPr>
                <w:b w:val="0"/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  <w:u w:val="single"/>
              </w:rPr>
              <w:t>November</w:t>
            </w:r>
          </w:p>
        </w:tc>
        <w:tc>
          <w:tcPr>
            <w:tcW w:w="2694" w:type="dxa"/>
          </w:tcPr>
          <w:p w:rsidR="003A0A16" w:rsidRDefault="003A0A16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Awards Issue</w:t>
            </w:r>
          </w:p>
          <w:p w:rsidR="003A0A16" w:rsidRDefault="003A0A16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2017 Review</w:t>
            </w:r>
          </w:p>
          <w:p w:rsidR="00E82231" w:rsidRPr="007C44A5" w:rsidRDefault="003A0A16" w:rsidP="00880B46">
            <w:pPr>
              <w:pStyle w:val="ListParagraph"/>
              <w:cnfStyle w:val="00000010000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>
              <w:rPr>
                <w:b/>
                <w:color w:val="1F497D" w:themeColor="text2"/>
                <w:sz w:val="20"/>
                <w:szCs w:val="20"/>
                <w:u w:val="single"/>
              </w:rPr>
              <w:t>2018 Preview</w:t>
            </w:r>
          </w:p>
        </w:tc>
        <w:tc>
          <w:tcPr>
            <w:tcW w:w="1275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586406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982718">
              <w:rPr>
                <w:b/>
                <w:color w:val="1F497D" w:themeColor="text2"/>
                <w:sz w:val="20"/>
                <w:szCs w:val="20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</w:rPr>
              <w:t>/11/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E82231" w:rsidRDefault="00E82231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</w:p>
          <w:p w:rsidR="00586406" w:rsidRPr="007C44A5" w:rsidRDefault="00982718" w:rsidP="00880B46">
            <w:pPr>
              <w:cnfStyle w:val="00000010000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01/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  <w:r w:rsidR="00586406">
              <w:rPr>
                <w:b/>
                <w:color w:val="1F497D" w:themeColor="text2"/>
                <w:sz w:val="20"/>
                <w:szCs w:val="20"/>
              </w:rPr>
              <w:t>/</w:t>
            </w:r>
            <w:r w:rsidR="00A90846">
              <w:rPr>
                <w:b/>
                <w:color w:val="1F497D" w:themeColor="text2"/>
                <w:sz w:val="20"/>
                <w:szCs w:val="20"/>
              </w:rPr>
              <w:t>2017</w:t>
            </w:r>
          </w:p>
        </w:tc>
      </w:tr>
    </w:tbl>
    <w:p w:rsidR="00880B46" w:rsidRPr="00880B46" w:rsidRDefault="00880B46" w:rsidP="00880B46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880B46">
        <w:rPr>
          <w:b/>
          <w:color w:val="1F497D" w:themeColor="text2"/>
          <w:sz w:val="36"/>
          <w:szCs w:val="36"/>
          <w:u w:val="single"/>
        </w:rPr>
        <w:lastRenderedPageBreak/>
        <w:t xml:space="preserve">2017 </w:t>
      </w:r>
      <w:r w:rsidR="00BB083E">
        <w:rPr>
          <w:b/>
          <w:color w:val="1F497D" w:themeColor="text2"/>
          <w:sz w:val="36"/>
          <w:szCs w:val="36"/>
          <w:u w:val="single"/>
        </w:rPr>
        <w:t>Forward Features List</w:t>
      </w:r>
    </w:p>
    <w:p w:rsidR="003E3FFE" w:rsidRDefault="003E3FFE" w:rsidP="00CF1B79"/>
    <w:p w:rsidR="00AC1A13" w:rsidRDefault="00AC1A13" w:rsidP="00CF1B79">
      <w:pPr>
        <w:rPr>
          <w:noProof/>
          <w:lang w:eastAsia="en-GB"/>
        </w:rPr>
      </w:pPr>
    </w:p>
    <w:p w:rsidR="00880B46" w:rsidRDefault="00880B46" w:rsidP="00CF1B79">
      <w:pPr>
        <w:rPr>
          <w:noProof/>
          <w:lang w:eastAsia="en-GB"/>
        </w:rPr>
      </w:pPr>
    </w:p>
    <w:p w:rsidR="00CF1B79" w:rsidRDefault="00CF1B79">
      <w:pPr>
        <w:rPr>
          <w:b/>
          <w:color w:val="002060"/>
          <w:u w:val="single"/>
        </w:rPr>
      </w:pPr>
    </w:p>
    <w:p w:rsidR="0010659F" w:rsidRDefault="0010659F" w:rsidP="0010659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67025" cy="11715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9F" w:rsidRDefault="0010659F" w:rsidP="0010659F"/>
    <w:p w:rsidR="0010659F" w:rsidRPr="00AC1A13" w:rsidRDefault="0010659F" w:rsidP="0010659F">
      <w:pPr>
        <w:rPr>
          <w:sz w:val="24"/>
          <w:szCs w:val="24"/>
        </w:rPr>
      </w:pPr>
      <w:r w:rsidRPr="00AC1A13">
        <w:rPr>
          <w:sz w:val="24"/>
          <w:szCs w:val="24"/>
        </w:rPr>
        <w:t>Please note that themes may change to correlate with the latest developments</w:t>
      </w:r>
      <w:r>
        <w:rPr>
          <w:sz w:val="24"/>
          <w:szCs w:val="24"/>
        </w:rPr>
        <w:t xml:space="preserve">, </w:t>
      </w:r>
      <w:r w:rsidRPr="00AC1A13">
        <w:rPr>
          <w:sz w:val="24"/>
          <w:szCs w:val="24"/>
        </w:rPr>
        <w:t>issues</w:t>
      </w:r>
      <w:r>
        <w:rPr>
          <w:sz w:val="24"/>
          <w:szCs w:val="24"/>
        </w:rPr>
        <w:t xml:space="preserve"> or trends</w:t>
      </w:r>
      <w:r w:rsidRPr="00AC1A13">
        <w:rPr>
          <w:sz w:val="24"/>
          <w:szCs w:val="24"/>
        </w:rPr>
        <w:t xml:space="preserve"> </w:t>
      </w:r>
    </w:p>
    <w:p w:rsidR="0010659F" w:rsidRDefault="0010659F" w:rsidP="0010659F">
      <w:pPr>
        <w:rPr>
          <w:b/>
          <w:sz w:val="24"/>
          <w:szCs w:val="24"/>
        </w:rPr>
      </w:pPr>
      <w:r w:rsidRPr="00AC1A13">
        <w:rPr>
          <w:b/>
          <w:sz w:val="24"/>
          <w:szCs w:val="24"/>
        </w:rPr>
        <w:t>Actuarial Post is flexible with editorial content. The editorial team are always happy to discuss different topics/themes for inclusion into either the online publication or the digital magazine.</w:t>
      </w:r>
    </w:p>
    <w:p w:rsidR="0010659F" w:rsidRDefault="0010659F" w:rsidP="0010659F">
      <w:pPr>
        <w:rPr>
          <w:b/>
          <w:sz w:val="24"/>
          <w:szCs w:val="24"/>
        </w:rPr>
      </w:pPr>
    </w:p>
    <w:p w:rsidR="0010659F" w:rsidRDefault="0010659F" w:rsidP="00106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Editor: Ellie Burns</w:t>
      </w:r>
    </w:p>
    <w:p w:rsidR="0010659F" w:rsidRDefault="0010659F" w:rsidP="0010659F">
      <w:pPr>
        <w:rPr>
          <w:b/>
          <w:sz w:val="24"/>
          <w:szCs w:val="24"/>
        </w:rPr>
      </w:pPr>
      <w:hyperlink r:id="rId7" w:history="1">
        <w:r w:rsidRPr="00DC22EF">
          <w:rPr>
            <w:rStyle w:val="Hyperlink"/>
            <w:b/>
            <w:sz w:val="24"/>
            <w:szCs w:val="24"/>
          </w:rPr>
          <w:t>ellie@actuarialpost.co.uk</w:t>
        </w:r>
      </w:hyperlink>
    </w:p>
    <w:p w:rsidR="0010659F" w:rsidRDefault="0010659F" w:rsidP="00106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Sub-Editor: Jennifer Redwood</w:t>
      </w:r>
    </w:p>
    <w:p w:rsidR="0010659F" w:rsidRDefault="0010659F" w:rsidP="0010659F">
      <w:pPr>
        <w:rPr>
          <w:b/>
          <w:sz w:val="24"/>
          <w:szCs w:val="24"/>
        </w:rPr>
      </w:pPr>
      <w:hyperlink r:id="rId8" w:history="1">
        <w:r w:rsidRPr="003D3F88">
          <w:rPr>
            <w:rStyle w:val="Hyperlink"/>
            <w:b/>
            <w:sz w:val="24"/>
            <w:szCs w:val="24"/>
          </w:rPr>
          <w:t>jennifer@actuarialpost.co.uk</w:t>
        </w:r>
      </w:hyperlink>
    </w:p>
    <w:p w:rsidR="0010659F" w:rsidRPr="00AC1A13" w:rsidRDefault="0010659F" w:rsidP="001065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  <w:r w:rsidRPr="00AC1A13">
        <w:rPr>
          <w:color w:val="1F497D"/>
          <w:sz w:val="24"/>
          <w:szCs w:val="24"/>
        </w:rPr>
        <w:t>01732 359488</w:t>
      </w:r>
    </w:p>
    <w:p w:rsidR="00CF1B79" w:rsidRDefault="00CF1B79">
      <w:pPr>
        <w:rPr>
          <w:b/>
          <w:color w:val="002060"/>
          <w:u w:val="single"/>
        </w:rPr>
      </w:pPr>
    </w:p>
    <w:sectPr w:rsidR="00CF1B79" w:rsidSect="005C3167">
      <w:pgSz w:w="16838" w:h="11906" w:orient="landscape"/>
      <w:pgMar w:top="284" w:right="1440" w:bottom="568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756"/>
    <w:multiLevelType w:val="hybridMultilevel"/>
    <w:tmpl w:val="D30A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E99"/>
    <w:rsid w:val="00052909"/>
    <w:rsid w:val="00067835"/>
    <w:rsid w:val="000B5E38"/>
    <w:rsid w:val="000B6567"/>
    <w:rsid w:val="000F7001"/>
    <w:rsid w:val="0010659F"/>
    <w:rsid w:val="001825FF"/>
    <w:rsid w:val="00196C64"/>
    <w:rsid w:val="001D3932"/>
    <w:rsid w:val="001F69EF"/>
    <w:rsid w:val="00220603"/>
    <w:rsid w:val="00255C59"/>
    <w:rsid w:val="002E71B0"/>
    <w:rsid w:val="002E7F7C"/>
    <w:rsid w:val="00311483"/>
    <w:rsid w:val="00323B55"/>
    <w:rsid w:val="003A0A16"/>
    <w:rsid w:val="003E3FFE"/>
    <w:rsid w:val="00471555"/>
    <w:rsid w:val="00496ECC"/>
    <w:rsid w:val="004C5979"/>
    <w:rsid w:val="004D479C"/>
    <w:rsid w:val="004E0E5B"/>
    <w:rsid w:val="00586406"/>
    <w:rsid w:val="0059561D"/>
    <w:rsid w:val="005C3167"/>
    <w:rsid w:val="005C3C0C"/>
    <w:rsid w:val="00640BA4"/>
    <w:rsid w:val="006D7E63"/>
    <w:rsid w:val="007703EB"/>
    <w:rsid w:val="00793FFF"/>
    <w:rsid w:val="007C44A5"/>
    <w:rsid w:val="007E5DA8"/>
    <w:rsid w:val="007F3E9A"/>
    <w:rsid w:val="008332C4"/>
    <w:rsid w:val="00880B46"/>
    <w:rsid w:val="008A0D1C"/>
    <w:rsid w:val="00916656"/>
    <w:rsid w:val="0093437F"/>
    <w:rsid w:val="009550F1"/>
    <w:rsid w:val="0097393A"/>
    <w:rsid w:val="00982718"/>
    <w:rsid w:val="009B4CEB"/>
    <w:rsid w:val="009B7CF1"/>
    <w:rsid w:val="009C4D18"/>
    <w:rsid w:val="00A66E99"/>
    <w:rsid w:val="00A90846"/>
    <w:rsid w:val="00AC1A13"/>
    <w:rsid w:val="00B25258"/>
    <w:rsid w:val="00B4012B"/>
    <w:rsid w:val="00B44640"/>
    <w:rsid w:val="00B643B3"/>
    <w:rsid w:val="00BB083E"/>
    <w:rsid w:val="00BD46E1"/>
    <w:rsid w:val="00C865E5"/>
    <w:rsid w:val="00C93A7D"/>
    <w:rsid w:val="00CF1B79"/>
    <w:rsid w:val="00D02E6A"/>
    <w:rsid w:val="00D40B15"/>
    <w:rsid w:val="00D5495F"/>
    <w:rsid w:val="00D848CF"/>
    <w:rsid w:val="00DE4582"/>
    <w:rsid w:val="00E21D45"/>
    <w:rsid w:val="00E22A74"/>
    <w:rsid w:val="00E50C5C"/>
    <w:rsid w:val="00E75043"/>
    <w:rsid w:val="00E82231"/>
    <w:rsid w:val="00ED041D"/>
    <w:rsid w:val="00EE1DC2"/>
    <w:rsid w:val="00F777E4"/>
    <w:rsid w:val="00F85824"/>
    <w:rsid w:val="00FA6FA4"/>
    <w:rsid w:val="00FB5547"/>
    <w:rsid w:val="00FD6C41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24"/>
  </w:style>
  <w:style w:type="paragraph" w:styleId="Heading3">
    <w:name w:val="heading 3"/>
    <w:basedOn w:val="Normal"/>
    <w:link w:val="Heading3Char"/>
    <w:uiPriority w:val="9"/>
    <w:qFormat/>
    <w:rsid w:val="000B5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E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206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0603"/>
    <w:rPr>
      <w:rFonts w:ascii="Consolas" w:hAnsi="Consolas"/>
      <w:sz w:val="21"/>
      <w:szCs w:val="21"/>
    </w:rPr>
  </w:style>
  <w:style w:type="table" w:styleId="MediumGrid3-Accent1">
    <w:name w:val="Medium Grid 3 Accent 1"/>
    <w:basedOn w:val="TableNormal"/>
    <w:uiPriority w:val="69"/>
    <w:rsid w:val="00FA6F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C1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actuarialpost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ellie@actuarialpost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7742-ABA1-4843-A245-1BCD7DD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theActuarial</dc:creator>
  <cp:lastModifiedBy>samap</cp:lastModifiedBy>
  <cp:revision>2</cp:revision>
  <cp:lastPrinted>2016-12-13T14:28:00Z</cp:lastPrinted>
  <dcterms:created xsi:type="dcterms:W3CDTF">2016-12-13T14:37:00Z</dcterms:created>
  <dcterms:modified xsi:type="dcterms:W3CDTF">2016-12-13T14:37:00Z</dcterms:modified>
</cp:coreProperties>
</file>